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ЗОРКАЛЬЦЕВСКОЕ СЕЛЬСКОЕ ПОСЕЛЕНИЕ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АДМИНИСТРАЦИЯ ЗОРКАЛЬЦЕВСКОГО СЕЛЬСКОГО ПОСЕЛЕНИЯ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«15»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июля 2015 г                                                                                               № 283/1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с.Зоркальцево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4109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 установлении порядка оплаты и определения выкупной цены земельных участков,  находящихся в муниципальной собственности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Зоркальцевское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также государственная собственность, на которые не разграничена, ранее предоставленных на ином праве и на которых отсутствуют здания, строения, сооружения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либо предоставляемых вновь для ведения личного подсобного хозяйства, садоводства, огородничества, дачного хозяйства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-2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Руководствуясь Земельным кодексом РФ, статьей 2 Федерального закона от 25.10.2001 №137-ФЗ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введении в действие Земельного кодекса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Федеральным законом от 06.10.2003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постановлением  Главы Томского района (Главы Администрации) от 30.12.2014 №379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 установлении порядка оплаты и определения выкупной цены земельных участков,  находящихся в муниципальной собственности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Томский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также государственная собственность, на которые не разграничена, ранее предоставленных на ином праве и на которых отсутствуют здания, строения, сооружения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либо предоставляемых вновь для ведения личного подсобного хозяйства, садоводства, огородничества, дачного хозяйства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 О С Т А Н О В Л Я Ю : 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Установить Порядок оплаты и определения выкупной цены земельных участков,  находящихся в муниципальной собственности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Зоркальцевское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также государственная собственность, на которые не разграничена, ранее предоставленных на ином праве и на которых отсутствуют здания, строения, сооружения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либо предоставляемых вновь для ведения личного подсобного хозяйства, садоводства, огородничества, дачного хозяйства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согласно Приложению.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Настоящее Постановление направить для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Интернет–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2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80"/>
            <w:spacing w:val="0"/>
            <w:position w:val="0"/>
            <w:sz w:val="22"/>
            <w:u w:val="single"/>
            <w:shd w:fill="auto" w:val="clear"/>
          </w:rPr>
          <w:t xml:space="preserve">HYPERLINK "http://www.zorkpos.tomsk.ru/"</w:t>
        </w:r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80"/>
            <w:spacing w:val="0"/>
            <w:position w:val="0"/>
            <w:sz w:val="22"/>
            <w:u w:val="single"/>
            <w:shd w:fill="auto" w:val="clear"/>
          </w:rPr>
          <w:t xml:space="preserve">HYPERLINK "http://www.zorkpos.tomsk.ru/"</w:t>
        </w:r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2"/>
            <w:u w:val="single"/>
            <w:shd w:fill="auto" w:val="clear"/>
          </w:rPr>
          <w:t xml:space="preserve">zorkpos</w:t>
        </w:r>
        <w:r>
          <w:rPr>
            <w:rFonts w:ascii="Times New Roman" w:hAnsi="Times New Roman" w:cs="Times New Roman" w:eastAsia="Times New Roman"/>
            <w:vanish/>
            <w:color w:val="000080"/>
            <w:spacing w:val="0"/>
            <w:position w:val="0"/>
            <w:sz w:val="22"/>
            <w:u w:val="single"/>
            <w:shd w:fill="auto" w:val="clear"/>
          </w:rPr>
          <w:t xml:space="preserve">HYPERLINK "http://www.zorkpos.tomsk.ru/"</w:t>
        </w:r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80"/>
            <w:spacing w:val="0"/>
            <w:position w:val="0"/>
            <w:sz w:val="22"/>
            <w:u w:val="single"/>
            <w:shd w:fill="auto" w:val="clear"/>
          </w:rPr>
          <w:t xml:space="preserve">HYPERLINK "http://www.zorkpos.tomsk.ru/"</w:t>
        </w:r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2"/>
            <w:u w:val="single"/>
            <w:shd w:fill="auto" w:val="clear"/>
          </w:rPr>
          <w:t xml:space="preserve">tomsk</w:t>
        </w:r>
        <w:r>
          <w:rPr>
            <w:rFonts w:ascii="Times New Roman" w:hAnsi="Times New Roman" w:cs="Times New Roman" w:eastAsia="Times New Roman"/>
            <w:vanish/>
            <w:color w:val="000080"/>
            <w:spacing w:val="0"/>
            <w:position w:val="0"/>
            <w:sz w:val="22"/>
            <w:u w:val="single"/>
            <w:shd w:fill="auto" w:val="clear"/>
          </w:rPr>
          <w:t xml:space="preserve">HYPERLINK "http://www.zorkpos.tomsk.ru/"</w:t>
        </w:r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80"/>
            <w:spacing w:val="0"/>
            <w:position w:val="0"/>
            <w:sz w:val="22"/>
            <w:u w:val="single"/>
            <w:shd w:fill="auto" w:val="clear"/>
          </w:rPr>
          <w:t xml:space="preserve">HYPERLINK "http://www.zorkpos.tomsk.ru/"</w:t>
        </w:r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2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Глава поселения                                                                                  В.Н. Лобыня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uppressAutoHyphens w:val="true"/>
        <w:spacing w:before="240" w:after="12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Малец Виктория Александровна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Тел. 915-349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к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постановлению Администрации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Зоркальцевского сельского поселения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15.07.2015 № 283/1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Порядок оплаты и определения выкупной цены земельных участков,  находящихся в муниципальной собственности МО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Зоркальцевское сельское поселение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 также государственная собственность, на которые не разграничена, ранее предоставленных на ином праве и на которых отсутствуют здания, строения, сооружения, либо предоставляемых вновь для ведения личного подсобного хозяйства, садоводства, огородничества, дачного хозяйства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"/>
        </w:num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Продажа гражданам земельных участков, находящихся в муниципальной собственности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Зоркальцевское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также государственная собственность, на которые не разграничена, ранее предоставленных им на ином праве и на которых отсутствуют здания, строения, сооружения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либо предоставляемых вновь для ведения личного подсобного хозяйства, осуществляется по цене, равной кадастровой стоимости земельного участка.</w:t>
      </w:r>
    </w:p>
    <w:p>
      <w:pPr>
        <w:numPr>
          <w:ilvl w:val="0"/>
          <w:numId w:val="23"/>
        </w:num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Продажа гражданам земельных участках, находящихся в муниципальной собственности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Зоркальцевское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также государственная собственность, на которые не разграничена, ранее предоставленных им на ином праве и на которых отсутствуют здания, строения, сооружения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либо предоставляемых вновь садоводства, огородничества, дачного хозяйства осуществляется по цене, рассчитываемой в процентном отношении от кадастровой стоимости указанных земельных участков, если иное не предусмотрено законодательством РФ, в размере:</w:t>
      </w: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2.1. 1%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кадастровой стоимости земельного участка – для граждан, включенных Администрацией Томского района в списки граждан, нуждающихся в получении садовых, огородных и дачных земельных участков;</w:t>
      </w:r>
    </w:p>
    <w:p>
      <w:p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2.2. 15%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кадастровой стоимости земельного участка – для граждан, не указанных в п. 2.1. настоящего Порядка.</w:t>
      </w:r>
    </w:p>
    <w:p>
      <w:pPr>
        <w:numPr>
          <w:ilvl w:val="0"/>
          <w:numId w:val="25"/>
        </w:numPr>
        <w:spacing w:before="0" w:after="0" w:line="240"/>
        <w:ind w:right="-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Оплата стоимости земельных участков при их покупке осуществляется покупателем единовременно не позднее десяти календарных дней, с момента подписания сторонами договора купли-продажи земельного участка или равным ежемесячным внесением платежа в срок, установленный договором купли-продажи, который не должен превышать 90 дней со дня заключения договора купли-продажи земельного участка, путем перечисления денежных средств на счет Управления Федерального казначейства по Томской области.</w:t>
      </w:r>
    </w:p>
    <w:p>
      <w:pPr>
        <w:tabs>
          <w:tab w:val="left" w:pos="226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3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zorkpos.tomsk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